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方正大标宋简体" w:hAnsi="华文中宋" w:eastAsia="方正大标宋简体"/>
          <w:color w:val="FF0000"/>
          <w:spacing w:val="-20"/>
          <w:w w:val="33"/>
          <w:sz w:val="144"/>
          <w:szCs w:val="144"/>
        </w:rPr>
      </w:pPr>
      <w:bookmarkStart w:id="0" w:name="_GoBack"/>
      <w:bookmarkEnd w:id="0"/>
      <w:r>
        <w:rPr>
          <w:rFonts w:hint="eastAsia"/>
          <w:color w:val="FF000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3534410" cy="1179195"/>
                <wp:effectExtent l="0" t="0" r="0" b="0"/>
                <wp:wrapNone/>
                <wp:docPr id="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410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00" w:lineRule="exact"/>
                              <w:rPr>
                                <w:rFonts w:hint="eastAsia" w:ascii="方正大标宋简体" w:hAnsi="华文中宋" w:eastAsia="方正大标宋简体"/>
                                <w:color w:val="000000"/>
                                <w:w w:val="41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  <w:sz w:val="144"/>
                                <w:szCs w:val="144"/>
                              </w:rPr>
                              <w:t>兴城街道办事处文件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84.5pt;margin-top:0pt;height:92.85pt;width:278.3pt;z-index:251660288;mso-width-relative:page;mso-height-relative:page;" filled="f" stroked="f" coordsize="21600,21600" o:gfxdata="UEsDBAoAAAAAAIdO4kAAAAAAAAAAAAAAAAAEAAAAZHJzL1BLAwQUAAAACACHTuJAAgnP2NcAAAAI&#10;AQAADwAAAGRycy9kb3ducmV2LnhtbE2PwU7DMBBE70j8g7WVuFG7haRNiNMDiCuI0lbi5sbbJGq8&#10;jmK3CX/PcoLLSqMZzb4pNpPrxBWH0HrSsJgrEEiVty3VGnafr/drECEasqbzhBq+McCmvL0pTG79&#10;SB943cZacAmF3GhoYuxzKUPVoDNh7nsk9k5+cCayHGppBzNyuevkUqlUOtMSf2hMj88NVuftxWnY&#10;v52+Do/qvX5xST/6SUlymdT6brZQTyAiTvEvDL/4jA4lMx39hWwQnYaHNOMtUQNftrNlkoI4cm6d&#10;rECWhfw/oPwBUEsDBBQAAAAIAIdO4kC4+ZlezQEAAIMDAAAOAAAAZHJzL2Uyb0RvYy54bWytU8GO&#10;0zAQvSPxD5bvNE13F9iq6UpQLRcESAsf4DpOYyn2mBm3SfkA+ANOXLjzXf0Oxk7bheWyBy7OeGb8&#10;Zt6byeJmcJ3YGSQLvpLlZCqF8Rpq6zeV/PTx9tlLKSgqX6sOvKnk3pC8WT59sujD3Mygha42KBjE&#10;07wPlWxjDPOiIN0ap2gCwXgONoBORb7ipqhR9YzuumI2nT4vesA6IGhDxN7VGJRHRHwMIDSN1WYF&#10;euuMjyMqmk5FpkStDSSXudumMTq+bxoyUXSVZKYxn1yE7XU6i+VCzTeoQmv1sQX1mBYecHLKei56&#10;hlqpqMQW7T9QzmoEgiZONLhiJJIVYRbl9IE2d60KJnNhqSmcRaf/B6vf7T6gsHUlZ1J45Xjgh+/f&#10;Dj9+HX5+FeUs6dMHmnPaXeDEOLyCgbfm5Cd2JtpDgy59mZDgOKu7P6trhig0Oy+uLi4vSw5pjpXl&#10;i+vy+irhFPfPA1J8Y8CJZFQSeXxZVbV7S3FMPaWkah5ubdflEXb+LwdjJk+Reh97TFYc1sOR0Brq&#10;PfPh/4DrtIBfpOh5CypJn7cKjRTKa3ZXMp7M13Fcm21Au2n5VRYhV+DZZBrHPUrD//Oe+7j/d5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AIJz9jXAAAACAEAAA8AAAAAAAAAAQAgAAAAIgAAAGRy&#10;cy9kb3ducmV2LnhtbFBLAQIUABQAAAAIAIdO4kC4+ZlezQEAAIMDAAAOAAAAAAAAAAEAIAAAACYB&#10;AABkcnMvZTJvRG9jLnhtbFBLBQYAAAAABgAGAFkBAABl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500" w:lineRule="exact"/>
                        <w:rPr>
                          <w:rFonts w:hint="eastAsia" w:ascii="方正大标宋简体" w:hAnsi="华文中宋" w:eastAsia="方正大标宋简体"/>
                          <w:color w:val="000000"/>
                          <w:w w:val="41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  <w:sz w:val="144"/>
                          <w:szCs w:val="144"/>
                        </w:rPr>
                        <w:t>兴城街道办事处文件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华文中宋" w:eastAsia="方正大标宋简体"/>
          <w:color w:val="FF0000"/>
          <w:spacing w:val="-20"/>
          <w:sz w:val="144"/>
          <w:szCs w:val="14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-19050</wp:posOffset>
                </wp:positionV>
                <wp:extent cx="1650365" cy="1089660"/>
                <wp:effectExtent l="0" t="0" r="6985" b="15240"/>
                <wp:wrapNone/>
                <wp:docPr id="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00" w:lineRule="exact"/>
                              <w:jc w:val="distribute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  <w:t>高新技术</w:t>
                            </w:r>
                          </w:p>
                          <w:p>
                            <w:pPr>
                              <w:spacing w:line="700" w:lineRule="exact"/>
                              <w:jc w:val="distribute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34"/>
                                <w:w w:val="7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spacing w:val="10"/>
                                <w:w w:val="70"/>
                                <w:sz w:val="60"/>
                                <w:szCs w:val="60"/>
                              </w:rPr>
                              <w:t>产业开发区</w:t>
                            </w:r>
                          </w:p>
                        </w:txbxContent>
                      </wps:txbx>
                      <wps:bodyPr wrap="square" tIns="8280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68.4pt;margin-top:-1.5pt;height:85.8pt;width:129.95pt;z-index:251659264;mso-width-relative:page;mso-height-relative:page;" fillcolor="#FFFFFF" filled="t" stroked="f" coordsize="21600,21600" o:gfxdata="UEsDBAoAAAAAAIdO4kAAAAAAAAAAAAAAAAAEAAAAZHJzL1BLAwQUAAAACACHTuJAhhYLzNkAAAAK&#10;AQAADwAAAGRycy9kb3ducmV2LnhtbE2PS0/DMBCE70j8B2uRuLVOiBTaEKeHSj2AhIDykLht4yWJ&#10;sNdR7D7g17Oc4Dia0cw39erknTrQFIfABvJ5Boq4DXbgzsDL82a2ABUTskUXmAx8UYRVc35WY2XD&#10;kZ/osE2dkhKOFRroUxorrWPbk8c4DyOxeB9h8phETp22Ex6l3Dt9lWWl9jiwLPQ40rqn9nO79wZ0&#10;WK51fH9wecTHt+L29f7ue5OMubzIsxtQiU7pLwy/+IIOjTDtwp5tVE50UQp6MjAr5JMEimV5DWon&#10;TrkoQTe1/n+h+QFQSwMEFAAAAAgAh07iQFUCvf/WAQAAlAMAAA4AAABkcnMvZTJvRG9jLnhtbK1T&#10;Ta7TMBDeI3EHy3uatOhVJWr6JKiKkBAgPTiA6ziJJf8x4zbpBeAGrNiw51w9B2On9MFj8xZkkdjz&#10;881830zWt6M17KgAtXc1n89KzpSTvtGuq/mnj7tnK84wCtcI452q+Ukhv908fbIeQqUWvvemUcAI&#10;xGE1hJr3MYaqKFD2ygqc+aAcOVsPVkS6Qlc0IAZCt6ZYlOWyGDw0AbxUiGTdTk5+QYTHAPq21VJt&#10;vTxY5eKECsqISJSw1wH5JnfbtkrG922LKjJTc2Ia85uK0Hmf3sVmLaoOROi1vLQgHtPCA05WaEdF&#10;r1BbEQU7gP4HymoJHn0bZ9LbYiKSFSEW8/KBNne9CCpzIakxXEXH/wcr3x0/ANMNbQJnTlga+Pnb&#10;1/P3n+cfX9h8nvQZAlYUdhcoMI4v/ZhiL3YkY6I9tmDTlwgx8pO6p6u6aoxMpqTlTfl8ecOZJN+8&#10;XL1YLrP+xX16AIyvlbcsHWoONL6sqji+xUglKfR3SKqG3uhmp43JF+j2rwywo6BR7/KTuqSUv8KM&#10;S8HOp7TJnSxFIjmRSac47scLw71vTkR8oBWpOX4+CFC0Rm8czWC1WJXE9BBAdz21m1XJSDSsXPmy&#10;WGkb/rznevc/0+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hYLzNkAAAAKAQAADwAAAAAAAAAB&#10;ACAAAAAiAAAAZHJzL2Rvd25yZXYueG1sUEsBAhQAFAAAAAgAh07iQFUCvf/WAQAAlAMAAA4AAAAA&#10;AAAAAQAgAAAAKAEAAGRycy9lMm9Eb2MueG1sUEsFBgAAAAAGAAYAWQEAAHAFAAAAAA==&#10;">
                <v:fill on="t" focussize="0,0"/>
                <v:stroke on="f"/>
                <v:imagedata o:title=""/>
                <o:lock v:ext="edit" aspectratio="f"/>
                <v:textbox inset="2.54mm,2.3mm,2.54mm,1.27mm">
                  <w:txbxContent>
                    <w:p>
                      <w:pPr>
                        <w:spacing w:line="700" w:lineRule="exact"/>
                        <w:jc w:val="distribute"/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  <w:t>高新技术</w:t>
                      </w:r>
                    </w:p>
                    <w:p>
                      <w:pPr>
                        <w:spacing w:line="700" w:lineRule="exact"/>
                        <w:jc w:val="distribute"/>
                        <w:rPr>
                          <w:rFonts w:hint="eastAsia" w:ascii="方正大标宋简体" w:hAnsi="华文中宋" w:eastAsia="方正大标宋简体"/>
                          <w:color w:val="FF0000"/>
                          <w:spacing w:val="34"/>
                          <w:w w:val="7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spacing w:val="10"/>
                          <w:w w:val="70"/>
                          <w:sz w:val="60"/>
                          <w:szCs w:val="60"/>
                        </w:rPr>
                        <w:t>产业开发区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简体" w:hAnsi="华文中宋" w:eastAsia="方正大标宋简体"/>
          <w:color w:val="FF0000"/>
          <w:spacing w:val="-20"/>
          <w:sz w:val="144"/>
          <w:szCs w:val="144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1047750" cy="1188720"/>
                <wp:effectExtent l="0" t="0" r="0" b="0"/>
                <wp:wrapNone/>
                <wp:docPr id="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500" w:lineRule="exact"/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</w:rPr>
                            </w:pPr>
                            <w:r>
                              <w:rPr>
                                <w:rFonts w:hint="eastAsia" w:ascii="方正大标宋简体" w:hAnsi="华文中宋" w:eastAsia="方正大标宋简体"/>
                                <w:color w:val="FF0000"/>
                                <w:w w:val="41"/>
                                <w:sz w:val="144"/>
                                <w:szCs w:val="144"/>
                              </w:rPr>
                              <w:t>枣庄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7.5pt;margin-top:0.45pt;height:93.6pt;width:82.5pt;z-index:251661312;mso-width-relative:page;mso-height-relative:page;" filled="f" stroked="f" coordsize="21600,21600" o:gfxdata="UEsDBAoAAAAAAIdO4kAAAAAAAAAAAAAAAAAEAAAAZHJzL1BLAwQUAAAACACHTuJA+cOhSNEAAAAH&#10;AQAADwAAAGRycy9kb3ducmV2LnhtbE2PwU7DMAyG70i8Q2QkbswpYqgrTXcAcQUxBhK3rPHaisap&#10;mmwtb497gps//dbvz+V29r060xi7wAaylQZFXAfXcWNg//58k4OKybKzfWAy8EMRttXlRWkLFyZ+&#10;o/MuNUpKOBbWQJvSUCDGuiVv4yoMxJIdw+htEhwbdKOdpNz3eKv1PXrbsVxo7UCPLdXfu5M38PFy&#10;/Pq806/Nk18PU5g1st+gMddXmX4AlWhOf8uw6Is6VOJ0CCd2UfXCa3klGdiAWtJcCx6WIc8AqxL/&#10;+1e/UEsDBBQAAAAIAIdO4kDhDYTuuAEAAF4DAAAOAAAAZHJzL2Uyb0RvYy54bWytU0tu2zAQ3RfI&#10;HQjuY0pOUxuC5QCFkWyKtEDaA9AUaRHgLxzaki/Q3qCrbrrvuXyODmnHadNNFt1Qw/m8mfeGWtyM&#10;1pCdjKC9a2k9qSiRTvhOu01Lv3y+vZxTAom7jhvvZEv3EujN8uLNYgiNnPrem05GgiAOmiG0tE8p&#10;NIyB6KXlMPFBOgwqHy1PeI0b1kU+ILo1bFpV79jgYxeiFxIAvatjkJ4Q42sAvVJayJUXWytdOqJG&#10;aXhCStDrAHRZplVKivRRKZCJmJYi01RObIL2Op9sueDNJvLQa3Eagb9mhBecLNcOm56hVjxxso36&#10;HyirRfTgVZoIb9mRSFEEWdTVC20eeh5k4YJSQziLDv8PVtzvPkWiu5ZeUeK4xYUfvn87/Ph1+PmV&#10;1FdZnyFAg2kPARPT+N6P+Gqe/IDOTHtU0eYvEiIYR3X3Z3XlmIjIRdXb2ewaQwJjdT2fz6ZFf/Zc&#10;HiKkO+ktyUZLI66vqMp3HyDhKJj6lJK7OX+rjSkrNO4vByZmD8uzH2fMVhrX44nQ2nd75DPg5lsK&#10;j1seJSXbEPWmx8aFXylG2Uvb0xPJe/3zXlo8/xb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nD&#10;oUjRAAAABwEAAA8AAAAAAAAAAQAgAAAAIgAAAGRycy9kb3ducmV2LnhtbFBLAQIUABQAAAAIAIdO&#10;4kDhDYTuuAEAAF4DAAAOAAAAAAAAAAEAIAAAACA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500" w:lineRule="exact"/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</w:rPr>
                      </w:pPr>
                      <w:r>
                        <w:rPr>
                          <w:rFonts w:hint="eastAsia" w:ascii="方正大标宋简体" w:hAnsi="华文中宋" w:eastAsia="方正大标宋简体"/>
                          <w:color w:val="FF0000"/>
                          <w:w w:val="41"/>
                          <w:sz w:val="144"/>
                          <w:szCs w:val="144"/>
                        </w:rPr>
                        <w:t>枣庄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color w:val="FF0000"/>
        </w:rPr>
      </w:pPr>
    </w:p>
    <w:p>
      <w:pPr>
        <w:spacing w:line="560" w:lineRule="exact"/>
        <w:jc w:val="center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枣高兴城街发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 w:ascii="方正大标宋简体" w:hAnsi="华文中宋" w:eastAsia="方正大标宋简体"/>
          <w:color w:val="FF0000"/>
          <w:sz w:val="144"/>
          <w:szCs w:val="144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187960</wp:posOffset>
                </wp:positionV>
                <wp:extent cx="5767070" cy="12700"/>
                <wp:effectExtent l="0" t="0" r="0" b="0"/>
                <wp:wrapNone/>
                <wp:docPr id="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7070" cy="127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flip:y;margin-left:6pt;margin-top:14.8pt;height:1pt;width:454.1pt;z-index:251662336;mso-width-relative:page;mso-height-relative:page;" filled="f" stroked="t" coordsize="21600,21600" o:gfxdata="UEsDBAoAAAAAAIdO4kAAAAAAAAAAAAAAAAAEAAAAZHJzL1BLAwQUAAAACACHTuJAv2KhY9QAAAAI&#10;AQAADwAAAGRycy9kb3ducmV2LnhtbE2PMU/DMBSEdyT+g/UqsVE7DkQ0xOkAYmBBagq7G7/GUePn&#10;KHaS8u8xE4ynO919V+2vbmALTqH3pCDbCmBIrTc9dQo+j2/3T8BC1GT04AkVfGOAfX17U+nS+JUO&#10;uDSxY6mEQqkV2BjHkvPQWnQ6bP2IlLyzn5yOSU4dN5NeU7kbuBSi4E73lBasHvHFYntpZqfgi/LZ&#10;vz++PoilOYw6P3+sq0Wl7jaZeAYW8Rr/wvCLn9ChTkwnP5MJbEhapitRgdwVwJK/k0ICOynIswJ4&#10;XfH/B+ofUEsDBBQAAAAIAIdO4kA2JGKb9wEAAOsDAAAOAAAAZHJzL2Uyb0RvYy54bWytU82O0zAQ&#10;viPxDpbvNGnV3aJo0z1QygXBSgvcp46dWPKfPG7TPguvwYkLj7OvwdgpBZZLD+QQjT3jb+b7/Pnu&#10;/mgNO8iI2ruWz2c1Z9IJ32nXt/zzp+2r15xhAteB8U62/CSR369fvrgbQyMXfvCmk5ERiMNmDC0f&#10;UgpNVaEYpAWc+SAdJZWPFhItY191EUZCt6Za1PVtNfrYheiFRKTdzZTkZ8R4DaBXSgu58WJvpUsT&#10;apQGElHCQQfk6zKtUlKkj0qhTMy0nJim8qcmFO/yv1rfQdNHCIMW5xHgmhGecbKgHTW9QG0gAdtH&#10;/Q+U1SJ69CrNhLfVRKQoQizm9TNtHgcIsnAhqTFcRMf/Bys+HB4i013Ll5w5sHThT1+/PX3/webL&#10;LM4YsKGax/AQzyukMDM9qmiZMjp8IRcV7sSGHYu0p4u08piYoM2b1e2qXpHqgnLzxaou0lcTTIYL&#10;EdM76S3LQcuNdpk5NHB4j4laU+mvkrxtHBtbvrhZEhATQD5UdP8U2kBc0PXlMHqju602Jh/B2O/e&#10;mMgOQF7Ybmv6MkMC/qssd9kADlNdSU0uGSR0b13H0imQSo4eB88zWNlxZiS9pRwRIDQJtLmmklob&#10;RxNkkSdZc7Tz3YnuZB+i7geSYl6mzBnyQJn37Ndssj/XBen3G13/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9ioWPUAAAACAEAAA8AAAAAAAAAAQAgAAAAIgAAAGRycy9kb3ducmV2LnhtbFBLAQIU&#10;ABQAAAAIAIdO4kA2JGKb9wEAAOsDAAAOAAAAAAAAAAEAIAAAACMBAABkcnMvZTJvRG9jLnhtbFBL&#10;BQYAAAAABgAGAFkBAACM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4"/>
          <w:lang w:eastAsia="zh-CN"/>
        </w:rPr>
        <w:t>关于切实做好</w:t>
      </w:r>
      <w:r>
        <w:rPr>
          <w:rFonts w:hint="default" w:ascii="Times New Roman" w:hAnsi="Times New Roman" w:eastAsia="方正小标宋简体" w:cs="Times New Roman"/>
          <w:bCs/>
          <w:sz w:val="44"/>
          <w:szCs w:val="24"/>
        </w:rPr>
        <w:t>三秋生产暨秸秆禁烧工作</w:t>
      </w:r>
      <w:r>
        <w:rPr>
          <w:rFonts w:hint="default" w:ascii="Times New Roman" w:hAnsi="Times New Roman" w:eastAsia="方正小标宋简体" w:cs="Times New Roman"/>
          <w:bCs/>
          <w:sz w:val="44"/>
          <w:szCs w:val="24"/>
          <w:lang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24"/>
        </w:rPr>
        <w:t>实  施  意  见</w:t>
      </w:r>
    </w:p>
    <w:p>
      <w:pPr>
        <w:widowControl/>
        <w:spacing w:line="600" w:lineRule="exact"/>
        <w:ind w:firstLine="640" w:firstLineChars="200"/>
        <w:jc w:val="left"/>
        <w:rPr>
          <w:rFonts w:hint="default" w:ascii="Times New Roman" w:hAnsi="Times New Roman" w:eastAsia="新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baseline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点总支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、各部门、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为全面做好三秋生产和秸秆禁烧工作，彻底消除秸秆焚烧造成的资源浪费和大气污染，高标准、高质量种好小麦，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根据市、区相关工作要求，经街道党工委、办事处研究，特制定如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下工作意见：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24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eastAsia="zh-CN"/>
        </w:rPr>
        <w:t>充分认识当前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形势</w:t>
      </w:r>
      <w:r>
        <w:rPr>
          <w:rFonts w:hint="eastAsia" w:ascii="Times New Roman" w:hAnsi="Times New Roman" w:eastAsia="黑体" w:cs="Times New Roman"/>
          <w:color w:val="000000"/>
          <w:spacing w:val="-4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增强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eastAsia="zh-CN"/>
        </w:rPr>
        <w:t>做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好三秋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eastAsia="zh-CN"/>
        </w:rPr>
        <w:t>生产暨秸秆禁烧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工作的责任感和紧迫感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三秋生产是全年粮食增产、农民增收的关键，也是促进农业结构调整、确保明年丰产的基础。做好三秋生产和秸秆禁烧工作，对夺取全年农业丰收、增加农民收入、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促进经济发展、保持社会稳定，具有十分重要意义。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今年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三秋生产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时间紧、任务重，全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上下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必须高度重视，充分认识三秋生产和秸秆禁烧工作的重要性，把思想统一到街道党工委、办事处工作部署上来，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早发动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早部署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早落实，全力以赴确保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做好各项工作。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592" w:firstLineChars="200"/>
        <w:jc w:val="left"/>
        <w:rPr>
          <w:rFonts w:hint="default" w:ascii="Times New Roman" w:hAnsi="Times New Roman" w:eastAsia="黑体" w:cs="Times New Roman"/>
          <w:color w:val="000000"/>
          <w:spacing w:val="-4"/>
          <w:w w:val="95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4"/>
          <w:w w:val="95"/>
          <w:kern w:val="0"/>
          <w:sz w:val="32"/>
          <w:szCs w:val="32"/>
        </w:rPr>
        <w:t>二、明确任务，</w:t>
      </w:r>
      <w:r>
        <w:rPr>
          <w:rFonts w:hint="default" w:ascii="Times New Roman" w:hAnsi="Times New Roman" w:eastAsia="黑体" w:cs="Times New Roman"/>
          <w:color w:val="000000"/>
          <w:spacing w:val="-4"/>
          <w:w w:val="95"/>
          <w:kern w:val="0"/>
          <w:sz w:val="32"/>
          <w:szCs w:val="32"/>
          <w:lang w:eastAsia="zh-CN"/>
        </w:rPr>
        <w:t>突出重点，</w:t>
      </w:r>
      <w:r>
        <w:rPr>
          <w:rFonts w:hint="default" w:ascii="Times New Roman" w:hAnsi="Times New Roman" w:eastAsia="黑体" w:cs="Times New Roman"/>
          <w:color w:val="000000"/>
          <w:spacing w:val="-4"/>
          <w:w w:val="95"/>
          <w:kern w:val="0"/>
          <w:sz w:val="32"/>
          <w:szCs w:val="32"/>
        </w:rPr>
        <w:t>全面推进三秋生产暨秸秆禁烧工作有序开展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  <w:lang w:eastAsia="zh-CN"/>
        </w:rPr>
        <w:t>切实抓好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秋收、秋种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  <w:lang w:eastAsia="zh-CN"/>
        </w:rPr>
        <w:t>、秋管工作。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要把“三秋”生产作为当前的一项重要任务，摆在突出位置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，狠抓责任落实。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一要着力抓好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粮抢收工作。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、各有关部门要及早动手，统筹安排，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天气变化情况，做好各项准备工作，集中调配好人员、物资和机械，抢收快打，做到及时收割、适时收获，确保颗粒归仓。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二要着力做好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秋种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要大力引进、推广优良品种，抓住天气变化的有利时机，组织一切力量，趁墒抢种、抢时早播。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三要着力做好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秋播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作物管理工作。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坚持全程高效管理，组织群众早管、细管、精管，为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明年夏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收打下良好基础。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3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（二）充分发挥农机作业主力军作用。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扎实推进玉米机收减损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工作，努力提高三秋农机化生产水平。要大力推行玉米收获机械化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以机收促防火，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机收地块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必须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用破茬机进行破茬。各村要合理组织，积极引导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确保及时抢收抢种。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要加强组织协调，科学调度农机跨区作业，引导机械合理流动，维护好农机作业现场秩序。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3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（三）毫不放松抓好三秋防火工作。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加大宣传力度。利用多种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形式，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广泛开展禁烧秸秆宣传工作，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增强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全民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安全防火意识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张贴小标语不低于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幅，悬挂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大标语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不低于10幅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，村广播早、中、晚宣传，让群众自觉遵守有关规定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TW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要落实防火责任制。全面推行领导干部包总支、机关干部包村、村干部包组、小组长包地块四级责任制，层层签订三秋防火责任状，做到监管到位、责任到人。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要加大责任追究力度。街道办事处抽调人员组成督查组,负责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督查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各村三秋生产开展情况，对重点禁烧区域进行拉网式检查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排查火灾隐患，确保秋收防火安全。对发生焚烧秸秆现象的点总支、村予以通报批评，对烧毁树木、引发火灾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造成严重影响和不良后果的要依法追究相关责任人的责任。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3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）切实抓好</w:t>
      </w:r>
      <w:r>
        <w:rPr>
          <w:rFonts w:hint="eastAsia" w:ascii="Times New Roman" w:hAnsi="Times New Roman" w:eastAsia="楷体_GB2312" w:cs="Times New Roman"/>
          <w:b/>
          <w:color w:val="000000"/>
          <w:kern w:val="0"/>
          <w:sz w:val="32"/>
          <w:szCs w:val="32"/>
          <w:lang w:val="en-US" w:eastAsia="zh-CN"/>
        </w:rPr>
        <w:t>文明城创建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、人居环境整治和三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生产工作的有机衔接。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要在抓好秸秆禁烧的同时，结合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文明城创建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、人居环境整治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，深入开展秸秆清理清运活动，清理清运达到“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净”标准，即田间净、地头净、沟渠净、路边净、树下净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村内净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。各点总支、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各村居及有关部门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要以高度的责任感和使命感严肃对待，切实抓好机械破茬工作。今年继续实行机械破茬保证金制度，机械破茬率必须达到100%。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24" w:firstLineChars="200"/>
        <w:jc w:val="left"/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三、加强领导，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eastAsia="zh-CN"/>
        </w:rPr>
        <w:t>落实奖惩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，确保三秋生产顺利进行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3" w:firstLineChars="200"/>
        <w:jc w:val="left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（一）要加强领导，落实责任。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办事处成立以主要领导任组长的三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生产和秸秆禁烧工作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指挥部，具体负责街道三秋生产和秸秆禁烧期间各项工作的指挥、协调。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要认真安排部署，切实抓好落实，明确分工，细化责任，确保三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生产、秸秆综合利用和禁烧工作顺利进行。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各点总支、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村居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也要成立相应的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指挥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机构，加强对“三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及秸秆禁烧工作的统一指挥，一级抓一级，层层抓落实。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3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（二）要加强督导，转变作风。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要加强对三秋工作的指导，街道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党工委、办事处成立督导巡查组，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各点总支、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村居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生产和禁烧秸杆工作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督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促指导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，负责检查督导各村宣传是否到位、责任制落实情况、防火棚搭建及防火设施配备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情况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。同时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要认真落实好良种补贴、农机补贴等各项惠农政策，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确保政策落实到位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3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kern w:val="0"/>
          <w:sz w:val="32"/>
          <w:szCs w:val="32"/>
        </w:rPr>
        <w:t>（三）要强化考核，兑现奖惩。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三秋期间，督导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查组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三秋工作包村人员到岗到位及各村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开展情况进行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督查。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发现问题及时解决，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责任和工作措施落实，做到三秋生产不结束，人员不撤回。三秋生产期间工作人员必须保持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24小时通讯畅通，原则上一律不许请假，确需请假的需经街道主要领导批准。三秋生产结束后，街道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将组织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考核组对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村进行考核验收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经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验收合格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后，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对无火情的村给予每亩5元的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防火办公费用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针对机收、秸秆清理落实不到位的村将不组织考核验收和兑现奖补政策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结合市、区的动态考核意见，按照得分数的百分比乘以机收无火情的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破茬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玉米面积，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补助各村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每亩20元破茬秸秆还田经费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，对于面积较少的村街道给予适当补助。继续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实行缴纳防火保证金制度，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各村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按时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缴纳防火保证金，对发生1起（堆）焚烧秸秆现象并被国家卫星监控系统确定火点的，扣除该村全部保证金；发生或被卫星监控火点1个以上的并造成影响的村，重新交纳等额保证金，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并对相关责任人严肃处理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。严惩第一把火，对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发生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第一把火的村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扣除防火保证金，并重新缴纳，视情况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召开现场会，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由村主要负责人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进行公开检讨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，对相关责任人按有关政策给予处理，取消全年评先树优资格。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：1、兴城街道三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生产暨秸秆禁烧指挥部成员名单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1600" w:firstLineChars="5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2、三秋工作包村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     3、兴城街道三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秋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生产考核一览表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1600" w:firstLineChars="5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4、兴城街道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三秋生产机械破茬任务一览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兴城街道办事处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         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wordWrap/>
        <w:spacing w:line="600" w:lineRule="exact"/>
        <w:ind w:right="320"/>
        <w:jc w:val="both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autoSpaceDN w:val="0"/>
        <w:spacing w:line="240" w:lineRule="atLeas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兴城街道三秋生产暨秸秆禁烧指挥部成员名单</w:t>
      </w:r>
    </w:p>
    <w:p>
      <w:pPr>
        <w:autoSpaceDN w:val="0"/>
        <w:spacing w:line="520" w:lineRule="exact"/>
        <w:ind w:firstLine="157" w:firstLineChars="4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总   指   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：边海华    </w:t>
      </w:r>
    </w:p>
    <w:p>
      <w:pPr>
        <w:autoSpaceDN w:val="0"/>
        <w:spacing w:line="520" w:lineRule="exact"/>
        <w:ind w:firstLine="157" w:firstLineChars="4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常务副总指挥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李  虔</w:t>
      </w:r>
    </w:p>
    <w:p>
      <w:pPr>
        <w:autoSpaceDN w:val="0"/>
        <w:spacing w:line="520" w:lineRule="exact"/>
        <w:ind w:firstLine="157" w:firstLineChars="49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 xml:space="preserve">副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指   挥：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陈大龙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吴成龙  蒋  利  宋宜彪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鹏</w:t>
      </w:r>
    </w:p>
    <w:p>
      <w:pPr>
        <w:autoSpaceDN w:val="0"/>
        <w:spacing w:line="520" w:lineRule="exact"/>
        <w:ind w:firstLine="157" w:firstLineChars="49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 xml:space="preserve">成  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员：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赵忠卫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孟  涵  褚衍明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王开龙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刘阳光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autoSpaceDN w:val="0"/>
        <w:spacing w:line="520" w:lineRule="exact"/>
        <w:ind w:firstLine="2393" w:firstLineChars="748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侯化奎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高召伟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夏西国  杨  震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刘  涛 </w:t>
      </w:r>
    </w:p>
    <w:p>
      <w:pPr>
        <w:autoSpaceDN w:val="0"/>
        <w:spacing w:line="520" w:lineRule="exact"/>
        <w:ind w:firstLine="2393" w:firstLineChars="748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孔  霄  张  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栗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函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袁朝辉  褚  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N w:val="0"/>
        <w:spacing w:line="520" w:lineRule="exact"/>
        <w:ind w:firstLine="2393" w:firstLineChars="748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王懔洋  邓  桦  曹继成  宋成军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刘圣营</w:t>
      </w:r>
    </w:p>
    <w:p>
      <w:pPr>
        <w:autoSpaceDN w:val="0"/>
        <w:spacing w:line="520" w:lineRule="exact"/>
        <w:ind w:firstLine="2393" w:firstLineChars="748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田  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eastAsia="zh-CN"/>
        </w:rPr>
        <w:t>冬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刘振海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张茂瑞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薛兆启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N w:val="0"/>
        <w:spacing w:line="520" w:lineRule="exact"/>
        <w:ind w:firstLine="2393" w:firstLineChars="748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田家平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褚庆臣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指挥部下设办公室，办公室主任由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同志兼任，同时设立后勤保障组、督导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查组、考核验收组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生产技术组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应急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防火组。</w:t>
      </w:r>
    </w:p>
    <w:p>
      <w:pPr>
        <w:spacing w:line="500" w:lineRule="exact"/>
        <w:ind w:firstLine="321" w:firstLineChars="1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 组 别         负责人          成     员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后勤保障组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陈大龙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张茂瑞  史学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孙长春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王开龙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宋成军    刘  旭  </w:t>
      </w:r>
    </w:p>
    <w:p>
      <w:pPr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督导巡查组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涵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薛兆启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韩  旭  任衍颜</w:t>
      </w:r>
    </w:p>
    <w:p>
      <w:pPr>
        <w:spacing w:line="500" w:lineRule="exact"/>
        <w:ind w:left="5130" w:right="428" w:rightChars="204" w:hanging="5130" w:hangingChars="1597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 xml:space="preserve">考核验收组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刘圣营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冬</w:t>
      </w:r>
    </w:p>
    <w:p>
      <w:pPr>
        <w:spacing w:line="500" w:lineRule="exact"/>
        <w:ind w:left="5130" w:right="428" w:rightChars="204" w:hanging="5110" w:hangingChars="1597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王开龙           薛兆启  刘振海 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生产技术组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刘振海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刘绍东</w:t>
      </w:r>
    </w:p>
    <w:p>
      <w:pPr>
        <w:spacing w:line="500" w:lineRule="exact"/>
        <w:ind w:left="5440" w:hanging="5461" w:hangingChars="1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应急防火组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刘振海 孙景梁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综合执法队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人</w:t>
      </w:r>
    </w:p>
    <w:p>
      <w:pPr>
        <w:spacing w:line="500" w:lineRule="exact"/>
        <w:ind w:left="5440" w:hanging="5440" w:hangingChars="17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农业办6人</w:t>
      </w:r>
    </w:p>
    <w:p>
      <w:pPr>
        <w:spacing w:line="520" w:lineRule="exact"/>
        <w:ind w:left="-850" w:leftChars="-405" w:firstLine="1285" w:firstLineChars="4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2"/>
          <w:szCs w:val="32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三秋工作包村人员一览表</w:t>
      </w:r>
    </w:p>
    <w:tbl>
      <w:tblPr>
        <w:tblStyle w:val="4"/>
        <w:tblpPr w:leftFromText="180" w:rightFromText="180" w:vertAnchor="page" w:horzAnchor="page" w:tblpXSpec="center" w:tblpY="3207"/>
        <w:tblOverlap w:val="never"/>
        <w:tblW w:w="8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235"/>
        <w:gridCol w:w="1255"/>
        <w:gridCol w:w="1635"/>
        <w:gridCol w:w="1605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80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包点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领导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村 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包村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领导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点总支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农业办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井字峪点总支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吴成龙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井 字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峪 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赵忠卫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侯 冬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陈 亮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东 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褚衍明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2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48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 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高召伟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袁朝辉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2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蒋庄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点总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支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蒋 利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蒋庄村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夏西国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  帅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曹继成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刘圣营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袁辉永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210" w:rightChars="-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刘绍东</w:t>
            </w:r>
          </w:p>
          <w:p>
            <w:pPr>
              <w:spacing w:line="0" w:lineRule="atLeast"/>
              <w:ind w:right="-210" w:rightChars="-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 山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寨 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  鹏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279" w:leftChars="133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杏峪村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孔  霄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栗  函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20" w:firstLineChars="10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李亚民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石农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点总支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宋宜彪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石菜村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侯化奎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褚  帅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田  军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张延柏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王  刚</w:t>
            </w: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贾广水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石农村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懔洋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邓  桦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朱文齐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西 石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沟 村</w:t>
            </w: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刘阳光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震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刘  涛</w:t>
            </w: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68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杨烈富</w:t>
            </w:r>
          </w:p>
          <w:p>
            <w:pPr>
              <w:spacing w:line="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40" w:lineRule="auto"/>
        <w:ind w:right="112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3：</w:t>
      </w:r>
    </w:p>
    <w:p>
      <w:pPr>
        <w:spacing w:line="540" w:lineRule="auto"/>
        <w:ind w:right="1120"/>
        <w:jc w:val="center"/>
        <w:rPr>
          <w:rFonts w:hint="default" w:ascii="Times New Roman" w:hAnsi="Times New Roman" w:eastAsia="方正小标宋简体" w:cs="Times New Roman"/>
          <w:color w:val="000000"/>
          <w:spacing w:val="6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兴城街道三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秋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生产考核一览表</w:t>
      </w:r>
    </w:p>
    <w:tbl>
      <w:tblPr>
        <w:tblStyle w:val="4"/>
        <w:tblpPr w:leftFromText="180" w:rightFromText="180" w:vertAnchor="text" w:horzAnchor="page" w:tblpXSpec="center" w:tblpY="132"/>
        <w:tblOverlap w:val="never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31"/>
        <w:gridCol w:w="805"/>
        <w:gridCol w:w="5976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项 目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分 值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考 核 标 准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得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组织领导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1、成立三秋生产领导小组，并张贴上墙。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2、分工明确，责任到人。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三秋准备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1、大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标语不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少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于10幅，小标语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不少于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2、利用广播，达到家喻户晓，人人皆知。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0" w:hanging="420" w:hangingChars="15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3、提前外联收割机和破茬机。准备好拖拉机       播种机。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4、及时播种，确保苗齐苗壮。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禁烧效果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34" w:leftChars="0" w:hanging="434" w:hangingChars="162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</w:rPr>
              <w:t>1、零火情效果监控（30分）凡出现国家卫星通报火点数、巡查及举报火点数、连片焚烧面积超过30亩的任何一项直接落实一票否决制度。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34" w:leftChars="0" w:hanging="434" w:hangingChars="162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</w:rPr>
              <w:t>玉米机收和破茬秸秆还田（20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  <w:lang w:eastAsia="zh-CN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</w:rPr>
              <w:t>）玉米机收、破茬秸秆还田不低于98％，每低一个百分点扣5分。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六净标准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“六净”标准：即村内净、田间净、地头净、沟渠净、路边净、树下净。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6"/>
                <w:sz w:val="28"/>
                <w:szCs w:val="28"/>
              </w:rPr>
              <w:t>发现一处超过2立方米的扣5分，两处扣10分，三处该项不得分。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道路管护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路面保持清洁，不准堆放秸秆柴草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确保路面畅通。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40" w:lineRule="auto"/>
        <w:ind w:right="1120"/>
        <w:jc w:val="both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</w:p>
    <w:p>
      <w:pPr>
        <w:spacing w:line="540" w:lineRule="auto"/>
        <w:ind w:right="11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兴城街道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三秋生产机械破茬任务一览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442" w:tblpY="273"/>
        <w:tblOverlap w:val="never"/>
        <w:tblW w:w="899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6"/>
        <w:gridCol w:w="1766"/>
        <w:gridCol w:w="1765"/>
        <w:gridCol w:w="1936"/>
        <w:gridCol w:w="17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</w:trPr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行政村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种植面积（亩）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灭茬任务（亩）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杏  峪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蒋  庄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194.9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194.9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南山寨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4.56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4.56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</w:trPr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石  农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348.75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348.75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石  菜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265.55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265.55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766" w:type="dxa"/>
            <w:noWrap w:val="0"/>
            <w:vAlign w:val="center"/>
          </w:tcPr>
          <w:p>
            <w:pPr>
              <w:widowControl/>
              <w:ind w:firstLine="803" w:firstLineChars="250"/>
              <w:jc w:val="both"/>
              <w:textAlignment w:val="top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西石沟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1651.22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1651.22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</w:trPr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南石东村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12.46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12.46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3532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合 计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widowControl/>
              <w:jc w:val="both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034.07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034.07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p>
      <w:pPr>
        <w:rPr>
          <w:rFonts w:hint="eastAsia"/>
          <w:color w:val="FF000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418" w:bottom="170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Wh6UN4BAAC+AwAADgAAAGRycy9lMm9Eb2MueG1srVPBjtMwEL0j8Q+W&#10;7zTZSou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xaHp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zJlNDY2MTkyZmE1NDA1OGE0NWY3NmYwZWEzYzkifQ=="/>
  </w:docVars>
  <w:rsids>
    <w:rsidRoot w:val="001406F3"/>
    <w:rsid w:val="000253BE"/>
    <w:rsid w:val="000751E3"/>
    <w:rsid w:val="001406F3"/>
    <w:rsid w:val="001654D7"/>
    <w:rsid w:val="00174788"/>
    <w:rsid w:val="001859B3"/>
    <w:rsid w:val="00263854"/>
    <w:rsid w:val="002A0A28"/>
    <w:rsid w:val="003B362B"/>
    <w:rsid w:val="003C35EF"/>
    <w:rsid w:val="005770DA"/>
    <w:rsid w:val="006302E4"/>
    <w:rsid w:val="00807150"/>
    <w:rsid w:val="0085034A"/>
    <w:rsid w:val="008E0E94"/>
    <w:rsid w:val="0095286E"/>
    <w:rsid w:val="009F69A7"/>
    <w:rsid w:val="00B06431"/>
    <w:rsid w:val="00BD5660"/>
    <w:rsid w:val="00E85EA4"/>
    <w:rsid w:val="00E9624A"/>
    <w:rsid w:val="00ED115E"/>
    <w:rsid w:val="00F27819"/>
    <w:rsid w:val="00FC1DF4"/>
    <w:rsid w:val="00FC51EC"/>
    <w:rsid w:val="135F6055"/>
    <w:rsid w:val="15893D04"/>
    <w:rsid w:val="18D9613D"/>
    <w:rsid w:val="1E2A400F"/>
    <w:rsid w:val="2C1D0589"/>
    <w:rsid w:val="2E5205A0"/>
    <w:rsid w:val="2ECF3507"/>
    <w:rsid w:val="33D14E7D"/>
    <w:rsid w:val="38FD0155"/>
    <w:rsid w:val="39A46765"/>
    <w:rsid w:val="3B63115A"/>
    <w:rsid w:val="528079D5"/>
    <w:rsid w:val="52DB369F"/>
    <w:rsid w:val="58D16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3085</Words>
  <Characters>3193</Characters>
  <Lines>1</Lines>
  <Paragraphs>1</Paragraphs>
  <TotalTime>24</TotalTime>
  <ScaleCrop>false</ScaleCrop>
  <LinksUpToDate>false</LinksUpToDate>
  <CharactersWithSpaces>3670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2002-01-02T07:32:00Z</dcterms:created>
  <dc:creator>微软用户</dc:creator>
  <cp:lastModifiedBy>伊儿</cp:lastModifiedBy>
  <cp:lastPrinted>2008-01-08T12:29:00Z</cp:lastPrinted>
  <dcterms:modified xsi:type="dcterms:W3CDTF">2023-08-30T06:29:00Z</dcterms:modified>
  <dc:title>枣庄市商业银行开发区支行文件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280930054_btnclosed</vt:lpwstr>
  </property>
  <property fmtid="{D5CDD505-2E9C-101B-9397-08002B2CF9AE}" pid="4" name="ICV">
    <vt:lpwstr>2C336F3462BE4F03B0384BD06184421B_13</vt:lpwstr>
  </property>
</Properties>
</file>